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760"/>
        <w:gridCol w:w="2600"/>
      </w:tblGrid>
      <w:tr>
        <w:tc>
          <w:tcPr>
            <w:tcW w:type="dxa" w:w="6760"/>
            <w:tcMar>
              <w:top w:type="dxa" w:w="0"/>
              <w:left w:type="dxa" w:w="0"/>
              <w:bottom w:type="dxa" w:w="0"/>
              <w:right w:type="dxa" w:w="160"/>
            </w:tcMar>
            <w:vAlign w:val="center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247900" cy="523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/>
            </w:pPr>
            <w:r>
              <w:rPr>
                <w:rFonts w:ascii="Georgia" w:cs="Georgia" w:eastAsia="Georgia" w:hAnsi="Georgia"/>
                <w:b/>
                <w:bCs/>
                <w:color w:val="1B2368"/>
                <w:sz w:val="44"/>
                <w:szCs w:val="44"/>
              </w:rPr>
              <w:t xml:space="preserve">KIMBERLY GRIFFIN</w:t>
            </w:r>
          </w:p>
          <w:p>
            <w:pPr>
              <w:spacing w:after="0" w:before="36"/>
            </w:pPr>
            <w:r>
              <w:rPr>
                <w:rFonts w:ascii="Georgia" w:cs="Georgia" w:eastAsia="Georgia" w:hAnsi="Georgia"/>
                <w:b/>
                <w:bCs/>
                <w:color w:val="B8860B"/>
                <w:sz w:val="23"/>
                <w:szCs w:val="23"/>
              </w:rPr>
              <w:t xml:space="preserve">RN   ·   WCC, Wound Care Certified</w:t>
            </w:r>
          </w:p>
          <w:p>
            <w:pPr>
              <w:spacing w:after="0" w:before="90"/>
            </w:pPr>
            <w:r>
              <w:rPr>
                <w:rFonts w:ascii="Calibri" w:cs="Calibri" w:eastAsia="Calibri" w:hAnsi="Calibri"/>
                <w:i/>
                <w:iCs/>
                <w:color w:val="050D59"/>
                <w:sz w:val="22"/>
                <w:szCs w:val="22"/>
              </w:rPr>
              <w:t xml:space="preserve">Registered Nurse | Certified Wound Care | Utilization Review</w:t>
            </w:r>
          </w:p>
          <w:p>
            <w:pPr>
              <w:spacing w:after="80" w:before="100"/>
            </w:pPr>
            <w:r>
              <w:rPr>
                <w:rFonts w:ascii="Calibri" w:cs="Calibri" w:eastAsia="Calibri" w:hAnsi="Calibri"/>
                <w:color w:val="5C6373"/>
                <w:sz w:val="19"/>
                <w:szCs w:val="19"/>
              </w:rPr>
              <w:t xml:space="preserve">Indiana · Compact RN License   |   </w:t>
            </w:r>
            <w:r>
              <w:rPr>
                <w:rFonts w:ascii="Calibri" w:cs="Calibri" w:eastAsia="Calibri" w:hAnsi="Calibri"/>
                <w:color w:val="5C6373"/>
                <w:sz w:val="19"/>
                <w:szCs w:val="19"/>
              </w:rPr>
              <w:t xml:space="preserve">experts@medlegalpro.com   |   1-844-633-5345</w:t>
            </w:r>
          </w:p>
        </w:tc>
        <w:tc>
          <w:tcPr>
            <w:tcW w:type="dxa" w:w="2600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right"/>
            </w:pPr>
            <w:r>
              <w:drawing>
                <wp:inline distT="0" distB="0" distL="0" distR="0">
                  <wp:extent cx="1409700" cy="1762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B8860B" w:sz="14" w:space="1"/>
        </w:pBdr>
        <w:spacing w:after="40" w:before="0"/>
      </w:pPr>
      <w:r>
        <w:rPr>
          <w:sz w:val="2"/>
          <w:szCs w:val="2"/>
        </w:rPr>
        <w:t xml:space="preserve"/>
      </w:r>
    </w:p>
    <w:p>
      <w:pPr>
        <w:spacing w:after="70" w:before="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Detail-oriented Compact-licensed Registered Nurse with a strong clinical background in skilled nursing, rehabilitation, and wound care, complemented by utilization-review experience. Brings a solid clinical knowledge base, critical-thinking skills, and the ability to apply evidence-based guidelines throughout the review and determination process.</w:t>
      </w:r>
    </w:p>
    <w:p>
      <w:pPr>
        <w:pBdr>
          <w:top w:val="single" w:color="E5C870" w:sz="4" w:space="6"/>
          <w:bottom w:val="single" w:color="E5C870" w:sz="4" w:space="6"/>
        </w:pBdr>
        <w:shd w:fill="F4F1E6" w:val="clear"/>
        <w:spacing w:after="60" w:before="40" w:line="280"/>
        <w:jc w:val="center"/>
      </w:pPr>
      <w:r>
        <w:rPr>
          <w:rFonts w:ascii="Georgia" w:cs="Georgia" w:eastAsia="Georgia" w:hAnsi="Georgia"/>
          <w:b/>
          <w:bCs/>
          <w:color w:val="1B2368"/>
          <w:sz w:val="16"/>
          <w:szCs w:val="16"/>
        </w:rPr>
        <w:t xml:space="preserve">WOUND CARE  ·  UTILIZATION REVIEW  ·  APPEALS &amp; DENIALS  ·  SKILLED NURSING &amp; REHABILITATION  ·  CHRONIC CARE MANAGEMENT  ·  NURSING LEADERSHIP  ·  CMS REGULATIONS  ·  REMOTE PATIENT MONITORING</w:t>
      </w:r>
    </w:p>
    <w:p>
      <w:pPr>
        <w:pBdr>
          <w:bottom w:val="single" w:color="B8860B" w:sz="10" w:space="4"/>
        </w:pBdr>
        <w:spacing w:after="90" w:before="24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Clinical &amp; Expertise Snapshot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Registered Nurse, Indiana — Compact (multistate) license, current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Wound Care Certified (WCC), NAWCO — current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20+ years of nursing experience across skilled nursing, rehabilitation, and geriatrics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Director-level nursing leadership and staff development experience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Utilization review, concurrent and retrospective reviews, appeals, denials, and authorizations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Chronic care management and remote patient monitoring (RPM)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Working knowledge of CMS regulations, charting, claims, and billing</w:t>
      </w:r>
    </w:p>
    <w:p>
      <w:pPr>
        <w:pBdr>
          <w:bottom w:val="single" w:color="B8860B" w:sz="10" w:space="4"/>
        </w:pBdr>
        <w:spacing w:after="90" w:before="24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Areas of Focus</w:t>
      </w:r>
    </w:p>
    <w:p>
      <w:pPr>
        <w:spacing w:after="30" w:before="130"/>
      </w:pPr>
      <w:r>
        <w:rPr>
          <w:rFonts w:ascii="Georgia" w:cs="Georgia" w:eastAsia="Georgia" w:hAnsi="Georgia"/>
          <w:b/>
          <w:bCs/>
          <w:color w:val="050D59"/>
          <w:sz w:val="21"/>
          <w:szCs w:val="21"/>
        </w:rPr>
        <w:t xml:space="preserve">Wound Care</w:t>
      </w:r>
    </w:p>
    <w:p>
      <w:pPr>
        <w:spacing w:after="60" w:before="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Evidence-based treatment planning for chronic and acute wounds, wound staging and photography, pressure-injury prevention, dressing-change education, and multidisciplinary care coordination.</w:t>
      </w:r>
    </w:p>
    <w:p>
      <w:pPr>
        <w:spacing w:after="30" w:before="130"/>
      </w:pPr>
      <w:r>
        <w:rPr>
          <w:rFonts w:ascii="Georgia" w:cs="Georgia" w:eastAsia="Georgia" w:hAnsi="Georgia"/>
          <w:b/>
          <w:bCs/>
          <w:color w:val="050D59"/>
          <w:sz w:val="21"/>
          <w:szCs w:val="21"/>
        </w:rPr>
        <w:t xml:space="preserve">Utilization Review</w:t>
      </w:r>
    </w:p>
    <w:p>
      <w:pPr>
        <w:spacing w:after="60" w:before="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Concurrent and retrospective reviews, appeals, denials, and authorizations; application of evidence-based guidelines and medical-necessity criteria during the determination process.</w:t>
      </w:r>
    </w:p>
    <w:p>
      <w:pPr>
        <w:spacing w:after="30" w:before="130"/>
      </w:pPr>
      <w:r>
        <w:rPr>
          <w:rFonts w:ascii="Georgia" w:cs="Georgia" w:eastAsia="Georgia" w:hAnsi="Georgia"/>
          <w:b/>
          <w:bCs/>
          <w:color w:val="050D59"/>
          <w:sz w:val="21"/>
          <w:szCs w:val="21"/>
        </w:rPr>
        <w:t xml:space="preserve">Skilled Nursing &amp; Rehabilitation</w:t>
      </w:r>
    </w:p>
    <w:p>
      <w:pPr>
        <w:spacing w:after="60" w:before="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Medical/surgical, rehabilitation, and geriatric care; discharge planning and durable medical equipment (DME); resident and family care coordination across the interdisciplinary team.</w:t>
      </w:r>
    </w:p>
    <w:p>
      <w:pPr>
        <w:spacing w:after="30" w:before="130"/>
      </w:pPr>
      <w:r>
        <w:rPr>
          <w:rFonts w:ascii="Georgia" w:cs="Georgia" w:eastAsia="Georgia" w:hAnsi="Georgia"/>
          <w:b/>
          <w:bCs/>
          <w:color w:val="050D59"/>
          <w:sz w:val="21"/>
          <w:szCs w:val="21"/>
        </w:rPr>
        <w:t xml:space="preserve">Nursing Leadership &amp; Compliance</w:t>
      </w:r>
    </w:p>
    <w:p>
      <w:pPr>
        <w:spacing w:after="60" w:before="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Department operations, staff orientation and continuing education, infection tracking and intervention, incident and complaint investigation, and CMS regulatory compliance and documentation.</w:t>
      </w:r>
    </w:p>
    <w:p>
      <w:pPr>
        <w:pBdr>
          <w:bottom w:val="single" w:color="B8860B" w:sz="10" w:space="4"/>
        </w:pBdr>
        <w:spacing w:after="90" w:before="24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Licensure &amp; Certifications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Registered Nurse — Indiana, Compact (Lic. 28205221A, 28205221C), current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Wound Care Certified (WCC #9291407) — National Alliance of Wound Care and Ostomy (NAWCO), current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Utilization Review-101, Certificate of Completion (Remote Learning Services, LLC), 2023</w:t>
      </w:r>
    </w:p>
    <w:p>
      <w:pPr>
        <w:pBdr>
          <w:bottom w:val="single" w:color="B8860B" w:sz="10" w:space="4"/>
        </w:pBdr>
        <w:spacing w:after="90" w:before="24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Professional Experience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Wound Care Nurse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10/2023 – Present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The Belmont Health &amp; Rehabilitation   |   Columbus, IN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Implement evidence-based treatment plans for chronic and acute wounds, improving healing times.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Provide comprehensive, specialized wound care and documentation, including wound photography and staging.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Educate patients and families on dressing changes and pressure-injury prevention to reduce readmissions.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Collaborate with multidisciplinary teams, including physicians and dietitians, to optimize wound-care plans.</w:t>
      </w:r>
    </w:p>
    <w:p>
      <w:pPr>
        <w:spacing w:after="0" w:before="12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Professional Development — 2023</w:t>
      </w:r>
    </w:p>
    <w:p>
      <w:pPr>
        <w:spacing w:after="60" w:before="10" w:line="262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Completed Utilization Review-101 certification and continuing online coursework to expand expertise in utilization review, appeals, and medical-necessity determination.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Chronic Care Manager (Remote)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6/2022 – 12/2022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Verustat — Remote Case/Care Management   |   Brentwood, TN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Analyzed clinical situations and made informed decisions using critical thinking and evidence-based knowledge.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Evaluated workflow and established priorities for time-sensitive assignments to ensure quality.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Delivered care coaching and initiated therapeutic relationships with patients.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Care Manager &amp; Remote Patient Monitoring Coordinator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11/2021 – 5/2022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ReliantMD   |   Austin, TX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Trained new staff on the CCM/RPM RN role and provider/RN protocols.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Ensured CMS quality measures were met and documented in a timely manner.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Provided patient support and education on care plans and medications; coordinated follow-up.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Director of Nursing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8/2018 – 11/2021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The Waters of Clifty Falls   |   Madison, IN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Directed overall operations of the nursing department in accordance with state and federal regulations.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Coordinated care and care-plan management across residents, families, staff, consultants, and the interdisciplinary team.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Demonstrated strong capacity to multitask and manage competing priorities.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Staff Development Coordinator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7/2017 – 7/2018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Indiana Masonic Home   |   Franklin, IN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Led orientation and continuing education for all staff.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Maintained infection statistics and determined appropriate interventions.</w:t>
      </w:r>
    </w:p>
    <w:p>
      <w:pPr>
        <w:tabs>
          <w:tab w:val="right" w:pos="9360"/>
        </w:tabs>
        <w:spacing w:after="0" w:before="14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RN, Assistant Director of Nursing</w:t>
      </w: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	2/2003 – 7/2017</w:t>
      </w:r>
    </w:p>
    <w:p>
      <w:pPr>
        <w:spacing w:after="5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Columbus Health &amp; Rehabilitation   |   Columbus, IN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Investigated unusual or serious incidents and patient complaints.</w:t>
      </w:r>
    </w:p>
    <w:p>
      <w:pPr>
        <w:pStyle w:val="ListParagraph"/>
        <w:numPr>
          <w:ilvl w:val="0"/>
          <w:numId w:val="2"/>
        </w:numPr>
        <w:spacing w:after="56" w:before="0" w:line="256"/>
      </w:pPr>
      <w:r>
        <w:rPr>
          <w:rFonts w:ascii="Calibri" w:cs="Calibri" w:eastAsia="Calibri" w:hAnsi="Calibri"/>
          <w:color w:val="5C6373"/>
          <w:sz w:val="23"/>
          <w:szCs w:val="23"/>
        </w:rPr>
        <w:t xml:space="preserve">Assisted in planning, developing, and supervising the activities of licensed and non-licensed care staff.</w:t>
      </w:r>
    </w:p>
    <w:p>
      <w:pPr>
        <w:pBdr>
          <w:bottom w:val="single" w:color="B8860B" w:sz="10" w:space="4"/>
        </w:pBdr>
        <w:spacing w:after="90" w:before="24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Education</w:t>
      </w:r>
    </w:p>
    <w:p>
      <w:pPr>
        <w:spacing w:after="0" w:before="120"/>
      </w:pPr>
      <w:r>
        <w:rPr>
          <w:rFonts w:ascii="Calibri" w:cs="Calibri" w:eastAsia="Calibri" w:hAnsi="Calibri"/>
          <w:b/>
          <w:bCs/>
          <w:color w:val="050D59"/>
          <w:sz w:val="24"/>
          <w:szCs w:val="24"/>
        </w:rPr>
        <w:t xml:space="preserve">Associate of Science in Nursing (ASN)</w:t>
      </w:r>
    </w:p>
    <w:p>
      <w:pPr>
        <w:spacing w:after="80" w:before="10"/>
      </w:pPr>
      <w:r>
        <w:rPr>
          <w:rFonts w:ascii="Calibri" w:cs="Calibri" w:eastAsia="Calibri" w:hAnsi="Calibri"/>
          <w:i/>
          <w:iCs/>
          <w:color w:val="5C6373"/>
          <w:sz w:val="22"/>
          <w:szCs w:val="22"/>
        </w:rPr>
        <w:t xml:space="preserve">Indiana University, Indiana</w:t>
      </w:r>
    </w:p>
    <w:p>
      <w:pPr>
        <w:pBdr>
          <w:top w:val="single" w:color="E5C870" w:sz="6" w:space="6"/>
        </w:pBdr>
        <w:spacing w:after="0" w:before="140"/>
        <w:jc w:val="center"/>
      </w:pPr>
      <w:r>
        <w:rPr>
          <w:rFonts w:ascii="Calibri" w:cs="Calibri" w:eastAsia="Calibri" w:hAnsi="Calibri"/>
          <w:i/>
          <w:iCs/>
          <w:color w:val="050D59"/>
          <w:sz w:val="19"/>
          <w:szCs w:val="19"/>
        </w:rPr>
        <w:t xml:space="preserve">Available exclusively through Med Legal Pro for medical-legal review and consulting engagements.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860B" w:sz="10" w:space="6"/>
      </w:pBdr>
      <w:tabs>
        <w:tab w:val="right" w:pos="9360"/>
      </w:tabs>
      <w:spacing w:after="0" w:before="0"/>
    </w:pPr>
    <w:r>
      <w:rPr>
        <w:rFonts w:ascii="Calibri" w:cs="Calibri" w:eastAsia="Calibri" w:hAnsi="Calibri"/>
        <w:color w:val="6E7587"/>
        <w:sz w:val="15"/>
        <w:szCs w:val="15"/>
      </w:rPr>
      <w:t xml:space="preserve">Kimberly Griffin, RN, WCC  ·  Med Legal Pro  ·  experts@medlegalpro.com  ·  1-844-633-5345</w:t>
    </w:r>
    <w:r>
      <w:rPr>
        <w:rFonts w:ascii="Calibri" w:cs="Calibri" w:eastAsia="Calibri" w:hAnsi="Calibri"/>
        <w:color w:val="6E7587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B8860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c07cb94578b2797f229bc3c29b9b020df7bf32a.jpg"/><Relationship Id="rId9" Type="http://schemas.openxmlformats.org/officeDocument/2006/relationships/image" Target="media/ea81c966e4ef21b082ba7e42104db3ffd731d75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 Legal Pro</dc:creator>
  <cp:lastModifiedBy>Un-named</cp:lastModifiedBy>
  <cp:revision>1</cp:revision>
  <dcterms:created xsi:type="dcterms:W3CDTF">2026-06-23T03:08:35.848Z</dcterms:created>
  <dcterms:modified xsi:type="dcterms:W3CDTF">2026-06-23T03:08:35.848Z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