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150"/>
        <w:gridCol w:w="2200"/>
      </w:tblGrid>
      <w:tr>
        <w:tc>
          <w:tcPr>
            <w:tcW w:type="dxa" w:w="715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1B2368"/>
                <w:sz w:val="36"/>
                <w:szCs w:val="36"/>
              </w:rPr>
              <w:t xml:space="preserve">Sarah DaBella, MSN, RN, FNP-BC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i/>
                <w:iCs/>
                <w:color w:val="6E7587"/>
                <w:sz w:val="22"/>
                <w:szCs w:val="22"/>
              </w:rPr>
              <w:t xml:space="preserve">Registered Nurse  |  Emergency Medicine, Trauma &amp; General Medicine</w:t>
            </w:r>
          </w:p>
          <w:p>
            <w:r>
              <w:rPr>
                <w:rFonts w:ascii="Calibri" w:cs="Calibri" w:eastAsia="Calibri" w:hAnsi="Calibri"/>
                <w:b/>
                <w:bCs/>
                <w:color w:val="1B2368"/>
                <w:sz w:val="19"/>
                <w:szCs w:val="19"/>
              </w:rPr>
              <w:t>sdabella@medlegalpro.com  |  (724) 599-7342  |  Expert Retention Inquiries: 1-844-633-5345</w:t>
            </w:r>
            <w:r>
              <w:rPr>
                <w:rFonts w:ascii="Calibri" w:cs="Calibri" w:eastAsia="Calibri" w:hAnsi="Calibri"/>
                <w:color w:val="6E7587"/>
                <w:sz w:val="19"/>
                <w:szCs w:val="19"/>
              </w:rPr>
            </w:r>
          </w:p>
        </w:tc>
        <w:tc>
          <w:tcPr>
            <w:tcW w:type="dxa" w:w="22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1028700" cy="1266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B8860B" w:sz="8" w:space="1"/>
        </w:pBdr>
        <w:spacing w:after="160" w:before="40"/>
      </w:pPr>
    </w:p>
    <w:p>
      <w:pPr>
        <w:pBdr>
          <w:bottom w:val="single" w:color="B8860B" w:sz="4" w:space="2"/>
        </w:pBdr>
        <w:spacing w:after="80" w:before="26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PROFESSIONAL SUMMARY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3A3A3A"/>
          <w:sz w:val="22"/>
          <w:szCs w:val="22"/>
        </w:rPr>
        <w:t xml:space="preserve">Registered Nurse with eight years of clinical experience spanning emergency medicine, trauma, telemetry, progressive care, and general medicine. Currently practices in the Emergency Department at UPMC Presbyterian, a Level I Stroke and Trauma Center, following seven years in the General Medicine Division at the same institution. Additional experience includes RN travel assignments across multiple U.S. health systems during the COVID-19 pandemic, managing high-acuity cardiac, respiratory, and medical patients. Holds active Multistate Registered Nurse licensure through the Pennsylvania State Board of Nursing.</w:t>
      </w:r>
    </w:p>
    <w:p>
      <w:pPr>
        <w:pBdr>
          <w:bottom w:val="single" w:color="B8860B" w:sz="4" w:space="2"/>
        </w:pBdr>
        <w:spacing w:after="80" w:before="26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PROFESSIONAL EXPERIENCE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color w:val="1B2368"/>
          <w:sz w:val="22"/>
          <w:szCs w:val="22"/>
        </w:rPr>
        <w:t xml:space="preserve">Registered Nurse — Emergency Department</w:t>
      </w:r>
      <w:r>
        <w:rPr>
          <w:rFonts w:ascii="Calibri" w:cs="Calibri" w:eastAsia="Calibri" w:hAnsi="Calibri"/>
          <w:b/>
          <w:bCs/>
          <w:color w:val="6E7587"/>
          <w:sz w:val="20"/>
          <w:szCs w:val="20"/>
        </w:rPr>
        <w:t xml:space="preserve">	2025 – Present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>University of Pittsburgh Medical Center (UPMC) Presbyterian</w:t>
      </w: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>  ·  Pittsburgh, PA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Level I Stroke and Trauma Center.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color w:val="1B2368"/>
          <w:sz w:val="22"/>
          <w:szCs w:val="22"/>
        </w:rPr>
        <w:t xml:space="preserve">Registered Nurse — General Medicine Division</w:t>
      </w:r>
      <w:r>
        <w:rPr>
          <w:rFonts w:ascii="Calibri" w:cs="Calibri" w:eastAsia="Calibri" w:hAnsi="Calibri"/>
          <w:b/>
          <w:bCs/>
          <w:color w:val="6E7587"/>
          <w:sz w:val="20"/>
          <w:szCs w:val="20"/>
        </w:rPr>
        <w:t xml:space="preserve">	2018 – 2025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>University of Pittsburgh Medical Center (UPMC) Presbyterian</w:t>
      </w: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>  ·  Pittsburgh, PA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color w:val="1B2368"/>
          <w:sz w:val="22"/>
          <w:szCs w:val="22"/>
        </w:rPr>
        <w:t xml:space="preserve">Registered Nurse — Travel Assignments</w:t>
      </w:r>
      <w:r>
        <w:rPr>
          <w:rFonts w:ascii="Calibri" w:cs="Calibri" w:eastAsia="Calibri" w:hAnsi="Calibri"/>
          <w:b/>
          <w:bCs/>
          <w:color w:val="6E7587"/>
          <w:sz w:val="20"/>
          <w:szCs w:val="20"/>
        </w:rPr>
        <w:t xml:space="preserve">	2020 – 2023</w:t>
      </w:r>
    </w:p>
    <w:p>
      <w:pPr>
        <w:spacing w:after="100"/>
      </w:pPr>
      <w:r>
        <w:rPr>
          <w:rFonts w:ascii="Calibri" w:cs="Calibri" w:eastAsia="Calibri" w:hAnsi="Calibri"/>
          <w:i w:val="false"/>
          <w:iCs w:val="false"/>
          <w:color w:val="6E7587"/>
          <w:sz w:val="22"/>
          <w:szCs w:val="22"/>
        </w:rPr>
        <w:t xml:space="preserve">Hoboken University Medical Center (Hoboken, NJ)  ·  Hazel Hawkins Medical Center (Hollister, CA)  ·  Banner University Medical Center (Phoenix, AZ)  ·  Boulder Community Health (Boulder, CO)  ·  Novant Health Rowan Medical Center (Salisbury, NC)  ·  HCA Healthcare, Englewood (Englewood, CO)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Worked as a travel RN in progressive care, telemetry, medicine, and float pool assignments during the COVID-19 pandemic, managing high-acuity cardiac, respiratory, and medical patients across multiple states.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color w:val="1B2368"/>
          <w:sz w:val="22"/>
          <w:szCs w:val="22"/>
        </w:rPr>
        <w:t xml:space="preserve">Staff RN — Intensive Care Unit</w:t>
      </w:r>
      <w:r>
        <w:rPr>
          <w:rFonts w:ascii="Calibri" w:cs="Calibri" w:eastAsia="Calibri" w:hAnsi="Calibri"/>
          <w:b/>
          <w:bCs/>
          <w:color w:val="6E7587"/>
          <w:sz w:val="20"/>
          <w:szCs w:val="20"/>
        </w:rPr>
        <w:t xml:space="preserve">	1995 – 2002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color w:val="1B2368"/>
          <w:sz w:val="22"/>
          <w:szCs w:val="22"/>
        </w:rPr>
        <w:t xml:space="preserve">Nurse Practitioner Clinical Education Experience</w:t>
      </w:r>
      <w:r>
        <w:rPr>
          <w:rFonts w:ascii="Calibri" w:cs="Calibri" w:eastAsia="Calibri" w:hAnsi="Calibri"/>
          <w:b/>
          <w:bCs/>
          <w:color w:val="6E7587"/>
          <w:sz w:val="20"/>
          <w:szCs w:val="20"/>
        </w:rPr>
        <w:t xml:space="preserve">	600 Hours</w:t>
      </w:r>
    </w:p>
    <w:p>
      <w:pPr>
        <w:spacing w:after="100"/>
      </w:pPr>
      <w:r>
        <w:rPr>
          <w:rFonts w:ascii="Calibri" w:cs="Calibri" w:eastAsia="Calibri" w:hAnsi="Calibri"/>
          <w:i w:val="false"/>
          <w:iCs w:val="false"/>
          <w:color w:val="6E7587"/>
          <w:sz w:val="22"/>
          <w:szCs w:val="22"/>
        </w:rPr>
        <w:t xml:space="preserve">Supervised clinical training completed as part of Post-Master's Family Nurse Practitioner Certificate, Carlow University</w:t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1B2368"/>
          <w:sz w:val="21"/>
          <w:szCs w:val="21"/>
        </w:rPr>
        <w:t xml:space="preserve">UPMC Children's Hospital, Emergency Department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Performed pediatric assessments and managed acute illnesses and injuries across infancy through adolescence.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Participated in diagnosis, treatment planning, patient education, and emergency stabilization.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B2368"/>
          <w:sz w:val="21"/>
          <w:szCs w:val="21"/>
        </w:rPr>
        <w:t xml:space="preserve">Heritage Valley Primary Care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Conducted comprehensive health assessments, preventive care visits, and chronic disease management across the lifespan.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Managed common acute conditions, ordered diagnostic testing, and developed evidence-based treatment plans.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B2368"/>
          <w:sz w:val="21"/>
          <w:szCs w:val="21"/>
        </w:rPr>
        <w:t xml:space="preserve">Heritage Valley Convenient Care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Evaluated and treated acute illnesses and minor injuries in a fast-paced walk-in clinic.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Managed upper respiratory infections, urinary tract infections, skin conditions, musculoskeletal injuries, and other same-day concerns.</w:t>
      </w:r>
    </w:p>
    <w:p>
      <w:pPr>
        <w:spacing w:after="20" w:before="100"/>
      </w:pPr>
      <w:r>
        <w:rPr>
          <w:rFonts w:ascii="Calibri" w:cs="Calibri" w:eastAsia="Calibri" w:hAnsi="Calibri"/>
          <w:b/>
          <w:bCs/>
          <w:color w:val="1B2368"/>
          <w:sz w:val="21"/>
          <w:szCs w:val="21"/>
        </w:rPr>
        <w:t xml:space="preserve">UPMC Women's Health Outpatient Office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Performed routine gynecologic assessments, preventive screenings, and prenatal and reproductive health evaluations.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Provided patient education on contraception, women's health maintenance, and common gynecologic conditions.</w:t>
      </w:r>
    </w:p>
    <w:p>
      <w:pPr>
        <w:pBdr>
          <w:bottom w:val="single" w:color="B8860B" w:sz="4" w:space="2"/>
        </w:pBdr>
        <w:spacing w:after="80" w:before="26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LICENSURE &amp; CERTIFICATIONS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Colorado Registered Nurse Practitioner (C-APN), Colorado State Board of Nursing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Certified Registered Nurse Practitioner (CRNP-BC), Pennsylvania State Board of Nursing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Multistate Registered Nurse, Pennsylvania State Board of Nursing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BLS, American Heart Association — expires 5/2027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ACLS, American Heart Association — expires 5/2027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National Institutes of Health Stroke Scale (NIHSS) — expires 3/2027</w:t>
      </w:r>
    </w:p>
    <w:p>
      <w:pPr>
        <w:pBdr>
          <w:bottom w:val="single" w:color="B8860B" w:sz="4" w:space="2"/>
        </w:pBdr>
        <w:spacing w:after="80" w:before="26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EDUCATION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color w:val="1B2368"/>
          <w:sz w:val="22"/>
          <w:szCs w:val="22"/>
        </w:rPr>
        <w:t xml:space="preserve">Post-Master's Family Nurse Practitioner Certificate</w:t>
      </w:r>
      <w:r>
        <w:rPr>
          <w:rFonts w:ascii="Calibri" w:cs="Calibri" w:eastAsia="Calibri" w:hAnsi="Calibri"/>
          <w:b/>
          <w:bCs/>
          <w:color w:val="6E7587"/>
          <w:sz w:val="20"/>
          <w:szCs w:val="20"/>
        </w:rPr>
        <w:t xml:space="preserve">	December 2025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>Carlow University</w:t>
      </w: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>  ·  Pittsburgh, PA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color w:val="1B2368"/>
          <w:sz w:val="22"/>
          <w:szCs w:val="22"/>
        </w:rPr>
        <w:t xml:space="preserve">Master of Science in Nursing Education</w:t>
      </w:r>
      <w:r>
        <w:rPr>
          <w:rFonts w:ascii="Calibri" w:cs="Calibri" w:eastAsia="Calibri" w:hAnsi="Calibri"/>
          <w:b/>
          <w:bCs/>
          <w:color w:val="6E7587"/>
          <w:sz w:val="20"/>
          <w:szCs w:val="20"/>
        </w:rPr>
        <w:t xml:space="preserve">	December 2022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>Indiana University of Pennsylvania (IUP)</w:t>
      </w: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>  ·  Indiana, PA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color w:val="1B2368"/>
          <w:sz w:val="22"/>
          <w:szCs w:val="22"/>
        </w:rPr>
        <w:t xml:space="preserve">Bachelor of Science in Nursing</w:t>
      </w:r>
      <w:r>
        <w:rPr>
          <w:rFonts w:ascii="Calibri" w:cs="Calibri" w:eastAsia="Calibri" w:hAnsi="Calibri"/>
          <w:b/>
          <w:bCs/>
          <w:color w:val="6E7587"/>
          <w:sz w:val="20"/>
          <w:szCs w:val="20"/>
        </w:rPr>
        <w:t xml:space="preserve">	May 2018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>Indiana University of Pennsylvania (IUP)</w:t>
      </w: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>  ·  Indiana, PA</w:t>
      </w:r>
    </w:p>
    <w:p>
      <w:pPr>
        <w:pBdr>
          <w:bottom w:val="single" w:color="B8860B" w:sz="4" w:space="2"/>
        </w:pBdr>
        <w:spacing w:after="80" w:before="26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TEACHING EXPERIENCE</w:t>
      </w:r>
    </w:p>
    <w:p>
      <w:pPr>
        <w:tabs>
          <w:tab w:val="right" w:pos="9026"/>
        </w:tabs>
        <w:spacing w:after="20" w:before="140"/>
      </w:pPr>
      <w:r>
        <w:rPr>
          <w:rFonts w:ascii="Calibri" w:cs="Calibri" w:eastAsia="Calibri" w:hAnsi="Calibri"/>
          <w:b/>
          <w:bCs/>
          <w:color w:val="1B2368"/>
          <w:sz w:val="22"/>
          <w:szCs w:val="22"/>
        </w:rPr>
        <w:t xml:space="preserve">Clinical Instructor, First-Year Students</w:t>
      </w:r>
      <w:r>
        <w:rPr>
          <w:rFonts w:ascii="Calibri" w:cs="Calibri" w:eastAsia="Calibri" w:hAnsi="Calibri"/>
          <w:b/>
          <w:bCs/>
          <w:color w:val="6E7587"/>
          <w:sz w:val="20"/>
          <w:szCs w:val="20"/>
        </w:rPr>
        <w:t xml:space="preserve">	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>Allegheny Health Network (AHN) — Forbes Hospital</w:t>
      </w:r>
      <w:r>
        <w:rPr>
          <w:rFonts w:ascii="Calibri" w:cs="Calibri" w:eastAsia="Calibri" w:hAnsi="Calibri"/>
          <w:i/>
          <w:iCs/>
          <w:color w:val="6E7587"/>
          <w:sz w:val="20"/>
          <w:szCs w:val="20"/>
        </w:rPr>
        <w:t xml:space="preserve"/>
      </w:r>
    </w:p>
    <w:p>
      <w:pPr>
        <w:pBdr>
          <w:bottom w:val="single" w:color="B8860B" w:sz="4" w:space="2"/>
        </w:pBdr>
        <w:spacing w:after="80" w:before="26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AWARDS &amp; RECOGNITION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DAISY Team Award, UPMC Presbyterian (2020)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Lion's Club Humanitarian Award, Indiana University of Pennsylvania (2018)</w:t>
      </w:r>
    </w:p>
    <w:p>
      <w:pPr>
        <w:pBdr>
          <w:bottom w:val="single" w:color="B8860B" w:sz="4" w:space="2"/>
        </w:pBdr>
        <w:spacing w:after="80" w:before="26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MEMBERSHIPS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Pennsylvania Coalition of Nurse Practitioners (PCNP) — December 2023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American Nurses Association (ANA) — December 2023 – Present</w:t>
      </w:r>
    </w:p>
    <w:p>
      <w:pPr>
        <w:pBdr>
          <w:bottom w:val="single" w:color="B8860B" w:sz="4" w:space="2"/>
        </w:pBdr>
        <w:spacing w:after="80" w:before="260"/>
      </w:pPr>
      <w:r>
        <w:rPr>
          <w:rFonts w:ascii="Georgia" w:cs="Georgia" w:eastAsia="Georgia" w:hAnsi="Georgia"/>
          <w:b/>
          <w:bCs/>
          <w:color w:val="1B2368"/>
          <w:sz w:val="24"/>
          <w:szCs w:val="24"/>
        </w:rPr>
        <w:t xml:space="preserve">ELECTRONIC MEDICAL RECORDS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Epic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Cerner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color w:val="3A3A3A"/>
          <w:sz w:val="22"/>
          <w:szCs w:val="22"/>
        </w:rPr>
        <w:t xml:space="preserve">Meditech</w:t>
      </w:r>
    </w:p>
    <w:sectPr>
      <w:footerReference w:type="default" r:id="rId7"/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9DE" w:sz="4" w:space="4"/>
      </w:pBdr>
      <w:tabs>
        <w:tab w:val="right" w:pos="9026"/>
      </w:tabs>
    </w:pPr>
    <w:r>
      <w:rPr>
        <w:rFonts w:ascii="Calibri" w:cs="Calibri" w:eastAsia="Calibri" w:hAnsi="Calibri"/>
        <w:color w:val="6E7587"/>
        <w:sz w:val="16"/>
        <w:szCs w:val="16"/>
      </w:rPr>
      <w:t xml:space="preserve">Sarah DaBella, MSN, RN, FNP-BC</w:t>
    </w:r>
    <w:r>
      <w:rPr>
        <w:rFonts w:ascii="Calibri" w:cs="Calibri" w:eastAsia="Calibri" w:hAnsi="Calibri"/>
        <w:color w:val="6E7587"/>
        <w:sz w:val="16"/>
        <w:szCs w:val="16"/>
      </w:rPr>
      <w:t xml:space="preserve">	Page </w:t>
    </w:r>
    <w:r>
      <w:rPr>
        <w:rFonts w:ascii="Calibri" w:cs="Calibri" w:eastAsia="Calibri" w:hAnsi="Calibri"/>
        <w:color w:val="6E7587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E7587"/>
        <w:sz w:val="16"/>
        <w:szCs w:val="16"/>
      </w:rPr>
      <w:t xml:space="preserve"> of </w:t>
    </w:r>
    <w:r>
      <w:rPr>
        <w:rFonts w:ascii="Calibri" w:cs="Calibri" w:eastAsia="Calibri" w:hAnsi="Calibri"/>
        <w:color w:val="6E7587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d7b1b42720719f74b42c81a1f92d0fb95b80bc8.jpg"/><Relationship Id="rId9" Type="http://schemas.openxmlformats.org/officeDocument/2006/relationships/fontTable" Target="fontTable.xml"/><Relationship Id="rId10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2026-08-28T03:57:16.743Z</dcterms:created>
  <dcterms:modified xsi:type="dcterms:W3CDTF">2026-08-28T03:57:16.743Z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