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25942E" w14:textId="77777777" w:rsidR="00104A81" w:rsidRDefault="00000000">
      <w:pPr>
        <w:spacing w:after="20"/>
        <w:jc w:val="center"/>
      </w:pPr>
      <w:r>
        <w:rPr>
          <w:rFonts w:ascii="Arial" w:eastAsia="Arial" w:hAnsi="Arial" w:cs="Arial"/>
          <w:b/>
          <w:bCs/>
          <w:color w:val="888888"/>
          <w:sz w:val="13"/>
          <w:szCs w:val="13"/>
        </w:rPr>
        <w:t xml:space="preserve">PAIN MEDICINE FOR </w:t>
      </w:r>
      <w:proofErr w:type="gramStart"/>
      <w:r>
        <w:rPr>
          <w:rFonts w:ascii="Arial" w:eastAsia="Arial" w:hAnsi="Arial" w:cs="Arial"/>
          <w:b/>
          <w:bCs/>
          <w:color w:val="888888"/>
          <w:sz w:val="13"/>
          <w:szCs w:val="13"/>
        </w:rPr>
        <w:t>ATTORNEYS  —</w:t>
      </w:r>
      <w:proofErr w:type="gramEnd"/>
      <w:r>
        <w:rPr>
          <w:rFonts w:ascii="Arial" w:eastAsia="Arial" w:hAnsi="Arial" w:cs="Arial"/>
          <w:b/>
          <w:bCs/>
          <w:color w:val="888888"/>
          <w:sz w:val="13"/>
          <w:szCs w:val="13"/>
        </w:rPr>
        <w:t xml:space="preserve">  Eugene Lipov, M.D.</w:t>
      </w:r>
    </w:p>
    <w:p w14:paraId="63B296C7" w14:textId="77777777" w:rsidR="00104A81" w:rsidRDefault="00000000">
      <w:pPr>
        <w:pBdr>
          <w:bottom w:val="single" w:sz="10" w:space="0" w:color="111111"/>
        </w:pBdr>
        <w:spacing w:after="20"/>
        <w:jc w:val="center"/>
      </w:pPr>
      <w:r>
        <w:rPr>
          <w:rFonts w:ascii="Arial" w:eastAsia="Arial" w:hAnsi="Arial" w:cs="Arial"/>
          <w:b/>
          <w:bCs/>
          <w:color w:val="111111"/>
          <w:sz w:val="34"/>
          <w:szCs w:val="34"/>
        </w:rPr>
        <w:t>CRPS Litigation Checklist</w:t>
      </w:r>
    </w:p>
    <w:p w14:paraId="554F49FA" w14:textId="77777777" w:rsidR="00104A81" w:rsidRDefault="00000000">
      <w:pPr>
        <w:spacing w:before="20" w:after="40"/>
        <w:jc w:val="center"/>
      </w:pPr>
      <w:r>
        <w:rPr>
          <w:rFonts w:ascii="Arial" w:eastAsia="Arial" w:hAnsi="Arial" w:cs="Arial"/>
          <w:i/>
          <w:iCs/>
          <w:color w:val="888888"/>
          <w:sz w:val="14"/>
          <w:szCs w:val="14"/>
        </w:rPr>
        <w:t>Complex Regional Pain Syndrome — Critical Questions for Plaintiff and Defense Counsel</w:t>
      </w:r>
    </w:p>
    <w:p w14:paraId="5DD5D50F" w14:textId="77777777" w:rsidR="00104A81" w:rsidRDefault="00000000">
      <w:pPr>
        <w:shd w:val="clear" w:color="auto" w:fill="F8F5F1"/>
        <w:spacing w:after="45"/>
      </w:pPr>
      <w:r>
        <w:rPr>
          <w:rFonts w:ascii="Arial" w:eastAsia="Arial" w:hAnsi="Arial" w:cs="Arial"/>
          <w:color w:val="555555"/>
          <w:sz w:val="13"/>
          <w:szCs w:val="13"/>
        </w:rPr>
        <w:t xml:space="preserve">  The correct question is not "Does the patient have CRPS?" Ask: </w:t>
      </w:r>
      <w:r>
        <w:rPr>
          <w:rFonts w:ascii="Arial" w:eastAsia="Arial" w:hAnsi="Arial" w:cs="Arial"/>
          <w:b/>
          <w:bCs/>
          <w:color w:val="111111"/>
          <w:sz w:val="13"/>
          <w:szCs w:val="13"/>
        </w:rPr>
        <w:t>Did the patient satisfy accepted diagnostic criteria at a specific point in time — supported by observed signs, not just reported symptoms?</w:t>
      </w:r>
      <w:r>
        <w:rPr>
          <w:rFonts w:ascii="Arial" w:eastAsia="Arial" w:hAnsi="Arial" w:cs="Arial"/>
          <w:color w:val="111111"/>
          <w:sz w:val="13"/>
          <w:szCs w:val="13"/>
        </w:rPr>
        <w:t xml:space="preserve">  </w:t>
      </w:r>
    </w:p>
    <w:tbl>
      <w:tblPr>
        <w:tblW w:w="14256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7"/>
        <w:gridCol w:w="5220"/>
        <w:gridCol w:w="4959"/>
      </w:tblGrid>
      <w:tr w:rsidR="00104A81" w14:paraId="2F8DDCEE" w14:textId="77777777">
        <w:tblPrEx>
          <w:tblCellMar>
            <w:top w:w="0" w:type="dxa"/>
            <w:bottom w:w="0" w:type="dxa"/>
          </w:tblCellMar>
        </w:tblPrEx>
        <w:tc>
          <w:tcPr>
            <w:tcW w:w="4277" w:type="dxa"/>
            <w:tcBorders>
              <w:right w:val="single" w:sz="2" w:space="0" w:color="CCCCCC"/>
            </w:tcBorders>
            <w:tcMar>
              <w:right w:w="259" w:type="dxa"/>
            </w:tcMar>
          </w:tcPr>
          <w:p w14:paraId="6F5B8719" w14:textId="77777777" w:rsidR="00104A81" w:rsidRDefault="00000000">
            <w:pPr>
              <w:shd w:val="clear" w:color="auto" w:fill="111111"/>
              <w:spacing w:before="70" w:after="25"/>
            </w:pPr>
            <w:r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 xml:space="preserve">  A.  BUDAPEST CRITERIA</w:t>
            </w:r>
          </w:p>
          <w:p w14:paraId="255AC471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Element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1 — Continuing disproportionate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pain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—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Clinical judgment — not a numerical threshold</w:t>
            </w:r>
          </w:p>
          <w:p w14:paraId="262EEE5B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8B0000"/>
                <w:sz w:val="13"/>
                <w:szCs w:val="13"/>
              </w:rPr>
              <w:t xml:space="preserve">⚠  </w:t>
            </w:r>
            <w:r>
              <w:rPr>
                <w:rFonts w:ascii="Arial" w:eastAsia="Arial" w:hAnsi="Arial" w:cs="Arial"/>
                <w:i/>
                <w:iCs/>
                <w:color w:val="555555"/>
                <w:sz w:val="13"/>
                <w:szCs w:val="13"/>
              </w:rPr>
              <w:t>Severe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555555"/>
                <w:sz w:val="13"/>
                <w:szCs w:val="13"/>
              </w:rPr>
              <w:t xml:space="preserve"> pain alone is only Element 1</w:t>
            </w:r>
          </w:p>
          <w:p w14:paraId="717AE196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Element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2 — Symptoms in ≥3 of 4 categories (patient-reported)</w:t>
            </w:r>
          </w:p>
          <w:p w14:paraId="122D311B" w14:textId="77777777" w:rsidR="00104A81" w:rsidRPr="00391315" w:rsidRDefault="00000000">
            <w:pPr>
              <w:spacing w:before="20" w:after="20" w:line="252" w:lineRule="auto"/>
              <w:ind w:left="288"/>
              <w:rPr>
                <w:lang w:val="pt-BR"/>
              </w:rPr>
            </w:pPr>
            <w:r w:rsidRPr="00391315">
              <w:rPr>
                <w:rFonts w:ascii="Arial" w:eastAsia="Arial" w:hAnsi="Arial" w:cs="Arial"/>
                <w:color w:val="555555"/>
                <w:sz w:val="13"/>
                <w:szCs w:val="13"/>
                <w:lang w:val="pt-BR"/>
              </w:rPr>
              <w:t>Sensory  ·  Vasomotor  ·  Sudomotor/Edema  ·  Motor/Trophic</w:t>
            </w:r>
          </w:p>
          <w:p w14:paraId="6AC184CA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Element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3 — Signs in ≥2 of 4 categories (observed on exam)</w:t>
            </w:r>
          </w:p>
          <w:p w14:paraId="1D102B20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8B0000"/>
                <w:sz w:val="13"/>
                <w:szCs w:val="13"/>
              </w:rPr>
              <w:t xml:space="preserve">⚠  </w:t>
            </w:r>
            <w:r>
              <w:rPr>
                <w:rFonts w:ascii="Arial" w:eastAsia="Arial" w:hAnsi="Arial" w:cs="Arial"/>
                <w:i/>
                <w:iCs/>
                <w:color w:val="555555"/>
                <w:sz w:val="13"/>
                <w:szCs w:val="13"/>
              </w:rPr>
              <w:t>A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555555"/>
                <w:sz w:val="13"/>
                <w:szCs w:val="13"/>
              </w:rPr>
              <w:t xml:space="preserve"> sign must be observed — not merely reported by patient</w:t>
            </w:r>
          </w:p>
          <w:p w14:paraId="10533A21" w14:textId="77777777" w:rsidR="00104A81" w:rsidRPr="00391315" w:rsidRDefault="00000000">
            <w:pPr>
              <w:spacing w:before="20" w:after="20" w:line="252" w:lineRule="auto"/>
              <w:ind w:left="288"/>
              <w:rPr>
                <w:lang w:val="pt-BR"/>
              </w:rPr>
            </w:pPr>
            <w:r w:rsidRPr="00391315">
              <w:rPr>
                <w:rFonts w:ascii="Arial" w:eastAsia="Arial" w:hAnsi="Arial" w:cs="Arial"/>
                <w:color w:val="555555"/>
                <w:sz w:val="13"/>
                <w:szCs w:val="13"/>
                <w:lang w:val="pt-BR"/>
              </w:rPr>
              <w:t>Sensory  ·  Vasomotor  ·  Sudomotor/Edema  ·  Motor/Trophic</w:t>
            </w:r>
          </w:p>
          <w:p w14:paraId="63E9ACBF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Element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4 — No better alternative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diagnosis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—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Required step — not an afterthought</w:t>
            </w:r>
          </w:p>
          <w:p w14:paraId="16951466" w14:textId="77777777" w:rsidR="00104A81" w:rsidRDefault="00000000">
            <w:pPr>
              <w:shd w:val="clear" w:color="auto" w:fill="111111"/>
              <w:spacing w:before="70" w:after="25"/>
            </w:pPr>
            <w:r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 xml:space="preserve">  B.  SYMPTOMS ≠ SIGNS</w:t>
            </w:r>
          </w:p>
          <w:p w14:paraId="703C4DF1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Are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color/temperature/swelling documented as observed?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—  Or only as patient report?</w:t>
            </w:r>
          </w:p>
          <w:p w14:paraId="5486FBEE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Were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signs measured quantitatively?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—  Temperature differential, edema?</w:t>
            </w:r>
          </w:p>
          <w:p w14:paraId="597BAA28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Were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signs documented near the date of diagnosis?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—  Or first after the label was applied?</w:t>
            </w:r>
          </w:p>
          <w:p w14:paraId="783BB26B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Were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signs repeated on subsequent exams?</w:t>
            </w:r>
          </w:p>
          <w:p w14:paraId="2538B6AC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8B0000"/>
                <w:sz w:val="13"/>
                <w:szCs w:val="13"/>
              </w:rPr>
              <w:t xml:space="preserve">⚠  </w:t>
            </w:r>
            <w:r>
              <w:rPr>
                <w:rFonts w:ascii="Arial" w:eastAsia="Arial" w:hAnsi="Arial" w:cs="Arial"/>
                <w:i/>
                <w:iCs/>
                <w:color w:val="555555"/>
                <w:sz w:val="13"/>
                <w:szCs w:val="13"/>
              </w:rPr>
              <w:t>"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555555"/>
                <w:sz w:val="13"/>
                <w:szCs w:val="13"/>
              </w:rPr>
              <w:t>Reports foot becomes red/swollen" ≠ "1.8°C cooler, pitting edema, visible color asymmetry"</w:t>
            </w:r>
          </w:p>
        </w:tc>
        <w:tc>
          <w:tcPr>
            <w:tcW w:w="4990" w:type="dxa"/>
            <w:tcBorders>
              <w:right w:val="single" w:sz="2" w:space="0" w:color="CCCCCC"/>
            </w:tcBorders>
            <w:tcMar>
              <w:left w:w="259" w:type="dxa"/>
              <w:right w:w="259" w:type="dxa"/>
            </w:tcMar>
          </w:tcPr>
          <w:p w14:paraId="0BC4AB72" w14:textId="77777777" w:rsidR="00104A81" w:rsidRDefault="00000000">
            <w:pPr>
              <w:shd w:val="clear" w:color="auto" w:fill="111111"/>
              <w:spacing w:before="70" w:after="25"/>
            </w:pPr>
            <w:r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 xml:space="preserve">  C.  8 COMMON REASONS DIAGNOSIS IS DISPUTED</w:t>
            </w:r>
          </w:p>
          <w:p w14:paraId="12F1E86B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4"/>
                <w:szCs w:val="14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Label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 xml:space="preserve"> without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analysis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 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>Clinician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writes "CRPS" but documents no symptom categories, signs, or alternatives</w:t>
            </w:r>
          </w:p>
          <w:p w14:paraId="656E0698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4"/>
                <w:szCs w:val="14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Pain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 xml:space="preserve"> out of proportion =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sufficient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 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>Disproportionate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pain is only Element 1</w:t>
            </w:r>
          </w:p>
          <w:p w14:paraId="48FFD820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4"/>
                <w:szCs w:val="14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Post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 xml:space="preserve">-injury findings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overinterpreted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 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>Temp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swelling after fracture ≠ CRPS without the full syndrome</w:t>
            </w:r>
          </w:p>
          <w:p w14:paraId="1A13147A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4"/>
                <w:szCs w:val="14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Symptoms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 xml:space="preserve"> converted 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signs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 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>"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>Reports temp changes" → "objective vasomotor changes"</w:t>
            </w:r>
          </w:p>
          <w:p w14:paraId="69053F6B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4"/>
                <w:szCs w:val="14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Diagnosis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 xml:space="preserve"> copied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forward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 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>Find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the first actual assessment — not the first code</w:t>
            </w:r>
          </w:p>
          <w:p w14:paraId="095EE76E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4"/>
                <w:szCs w:val="14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Exam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incomplete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 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>Must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address color, temp, sweating, edema, ROM, strength, sensation, trophic, bilateral comparison</w:t>
            </w:r>
          </w:p>
          <w:p w14:paraId="18E12E98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4"/>
                <w:szCs w:val="14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Alternatives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 xml:space="preserve"> not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evaluated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 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>Nerve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compression, infection, vascular disease, nonunion, tendon, radiculopathy</w:t>
            </w:r>
          </w:p>
          <w:p w14:paraId="11C54993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4"/>
                <w:szCs w:val="14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Treatment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 xml:space="preserve"> response =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</w:rPr>
              <w:t>proof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  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>Improvement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after gabapentin / ketamine / SCS does not establish the diagnosis</w:t>
            </w:r>
          </w:p>
          <w:p w14:paraId="58A44366" w14:textId="77777777" w:rsidR="00104A81" w:rsidRDefault="00000000">
            <w:pPr>
              <w:shd w:val="clear" w:color="auto" w:fill="111111"/>
              <w:spacing w:before="70" w:after="25"/>
            </w:pPr>
            <w:r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 xml:space="preserve">  D.  WHAT TESTS CAN AND CANNOT ESTABLISH</w:t>
            </w:r>
          </w:p>
          <w:tbl>
            <w:tblPr>
              <w:tblW w:w="47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80"/>
              <w:gridCol w:w="1709"/>
              <w:gridCol w:w="1842"/>
            </w:tblGrid>
            <w:tr w:rsidR="00104A81" w14:paraId="504786C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84" w:type="dxa"/>
                  <w:shd w:val="clear" w:color="auto" w:fill="555555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30BA8655" w14:textId="77777777" w:rsidR="00104A81" w:rsidRDefault="00000000"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2"/>
                      <w:szCs w:val="12"/>
                    </w:rPr>
                    <w:t>Test</w:t>
                  </w:r>
                </w:p>
              </w:tc>
              <w:tc>
                <w:tcPr>
                  <w:tcW w:w="3312" w:type="dxa"/>
                  <w:shd w:val="clear" w:color="auto" w:fill="555555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7EC04264" w14:textId="77777777" w:rsidR="00104A81" w:rsidRDefault="00000000"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2"/>
                      <w:szCs w:val="12"/>
                    </w:rPr>
                    <w:t>May Support</w:t>
                  </w:r>
                </w:p>
              </w:tc>
              <w:tc>
                <w:tcPr>
                  <w:tcW w:w="3312" w:type="dxa"/>
                  <w:shd w:val="clear" w:color="auto" w:fill="555555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30BFFC87" w14:textId="77777777" w:rsidR="00104A81" w:rsidRDefault="00000000"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2"/>
                      <w:szCs w:val="12"/>
                    </w:rPr>
                    <w:t>Cannot Prove</w:t>
                  </w:r>
                </w:p>
              </w:tc>
            </w:tr>
            <w:tr w:rsidR="00104A81" w14:paraId="3724D0C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84" w:type="dxa"/>
                  <w:tcBorders>
                    <w:bottom w:val="single" w:sz="1" w:space="0" w:color="CCCCCC"/>
                  </w:tcBorders>
                  <w:shd w:val="clear" w:color="auto" w:fill="FAFAFA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630B7CC7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111111"/>
                      <w:sz w:val="12"/>
                      <w:szCs w:val="12"/>
                    </w:rPr>
                    <w:t>X-ray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AFAFA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4ABEC65E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Patchy demineralization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AFAFA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13CCE974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CRPS caused bone loss (disuse also does)</w:t>
                  </w:r>
                </w:p>
              </w:tc>
            </w:tr>
            <w:tr w:rsidR="00104A81" w14:paraId="091F40E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84" w:type="dxa"/>
                  <w:tcBorders>
                    <w:bottom w:val="single" w:sz="1" w:space="0" w:color="CCCCCC"/>
                  </w:tcBorders>
                  <w:shd w:val="clear" w:color="auto" w:fill="FFFFFF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1A6AEACB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111111"/>
                      <w:sz w:val="12"/>
                      <w:szCs w:val="12"/>
                    </w:rPr>
                    <w:t>MRI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FFFFF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12BE2891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Edema, identify alternatives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FFFFF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24270CB5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CRPS — no biomarker pattern exists</w:t>
                  </w:r>
                </w:p>
              </w:tc>
            </w:tr>
            <w:tr w:rsidR="00104A81" w14:paraId="47F125F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84" w:type="dxa"/>
                  <w:tcBorders>
                    <w:bottom w:val="single" w:sz="1" w:space="0" w:color="CCCCCC"/>
                  </w:tcBorders>
                  <w:shd w:val="clear" w:color="auto" w:fill="FAFAFA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0F0A1D96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111111"/>
                      <w:sz w:val="12"/>
                      <w:szCs w:val="12"/>
                    </w:rPr>
                    <w:t>Bone Scan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AFAFA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121DCF66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Periarticular uptake (some cases)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AFAFA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1CAA2F9C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Confirm/exclude CRPS — wide ranges</w:t>
                  </w:r>
                </w:p>
              </w:tc>
            </w:tr>
            <w:tr w:rsidR="00104A81" w14:paraId="00A818D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84" w:type="dxa"/>
                  <w:tcBorders>
                    <w:bottom w:val="single" w:sz="1" w:space="0" w:color="CCCCCC"/>
                  </w:tcBorders>
                  <w:shd w:val="clear" w:color="auto" w:fill="FFFFFF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0949B08D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111111"/>
                      <w:sz w:val="12"/>
                      <w:szCs w:val="12"/>
                    </w:rPr>
                    <w:t>Thermography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FFFFF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6B06B975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Asymmetry under standardized conditions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FFFFF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7C05AC18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Cause — vascular/medication factors</w:t>
                  </w:r>
                </w:p>
              </w:tc>
            </w:tr>
            <w:tr w:rsidR="00104A81" w14:paraId="5B2832F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84" w:type="dxa"/>
                  <w:tcBorders>
                    <w:bottom w:val="single" w:sz="1" w:space="0" w:color="CCCCCC"/>
                  </w:tcBorders>
                  <w:shd w:val="clear" w:color="auto" w:fill="FAFAFA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4BCCECC1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111111"/>
                      <w:sz w:val="12"/>
                      <w:szCs w:val="12"/>
                    </w:rPr>
                    <w:t>EMG / NCS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AFAFA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0FA3985C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Nerve injury for Type II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AFAFA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1218C41C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CRPS Type I — does not diagnose it</w:t>
                  </w:r>
                </w:p>
              </w:tc>
            </w:tr>
            <w:tr w:rsidR="00104A81" w14:paraId="067F63F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84" w:type="dxa"/>
                  <w:tcBorders>
                    <w:bottom w:val="single" w:sz="1" w:space="0" w:color="CCCCCC"/>
                  </w:tcBorders>
                  <w:shd w:val="clear" w:color="auto" w:fill="FFFFFF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30385B44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b/>
                      <w:bCs/>
                      <w:color w:val="111111"/>
                      <w:sz w:val="12"/>
                      <w:szCs w:val="12"/>
                    </w:rPr>
                    <w:t>Sympathetic Block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FFFFF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7D120D40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Sympathetically maintained pain</w:t>
                  </w:r>
                </w:p>
              </w:tc>
              <w:tc>
                <w:tcPr>
                  <w:tcW w:w="3312" w:type="dxa"/>
                  <w:tcBorders>
                    <w:bottom w:val="single" w:sz="1" w:space="0" w:color="CCCCCC"/>
                  </w:tcBorders>
                  <w:shd w:val="clear" w:color="auto" w:fill="FFFFFF"/>
                  <w:tcMar>
                    <w:top w:w="28" w:type="dxa"/>
                    <w:left w:w="86" w:type="dxa"/>
                    <w:bottom w:w="28" w:type="dxa"/>
                    <w:right w:w="86" w:type="dxa"/>
                  </w:tcMar>
                </w:tcPr>
                <w:p w14:paraId="38935061" w14:textId="77777777" w:rsidR="00104A81" w:rsidRDefault="00000000">
                  <w:pPr>
                    <w:spacing w:before="16" w:after="16" w:line="245" w:lineRule="auto"/>
                  </w:pPr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>Budapest Criteria — non-response ≠ exclusion</w:t>
                  </w:r>
                </w:p>
              </w:tc>
            </w:tr>
          </w:tbl>
          <w:p w14:paraId="6029F20F" w14:textId="77777777" w:rsidR="00104A81" w:rsidRDefault="00104A81"/>
        </w:tc>
        <w:tc>
          <w:tcPr>
            <w:tcW w:w="4990" w:type="dxa"/>
            <w:tcMar>
              <w:left w:w="259" w:type="dxa"/>
            </w:tcMar>
          </w:tcPr>
          <w:p w14:paraId="44381DAA" w14:textId="77777777" w:rsidR="00104A81" w:rsidRDefault="00000000">
            <w:pPr>
              <w:shd w:val="clear" w:color="auto" w:fill="111111"/>
              <w:spacing w:before="70" w:after="25"/>
            </w:pPr>
            <w:r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 xml:space="preserve">  E.  ALTERNATIVE DIAGNOSES — WERE THESE EXCLUDED?</w:t>
            </w:r>
          </w:p>
          <w:p w14:paraId="37D6D208" w14:textId="77777777" w:rsidR="00104A81" w:rsidRDefault="00000000">
            <w:pPr>
              <w:spacing w:before="20" w:after="8"/>
            </w:pPr>
            <w:r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</w:rPr>
              <w:t xml:space="preserve">Orthopedic: </w:t>
            </w:r>
            <w:r>
              <w:rPr>
                <w:rFonts w:ascii="Arial" w:eastAsia="Arial" w:hAnsi="Arial" w:cs="Arial"/>
                <w:color w:val="555555"/>
                <w:sz w:val="13"/>
                <w:szCs w:val="13"/>
              </w:rPr>
              <w:t>Occult fracture, tendon injury, joint instability, hardware irritation, adhesive capsulitis, arthritis, disuse</w:t>
            </w:r>
          </w:p>
          <w:p w14:paraId="47445D7D" w14:textId="77777777" w:rsidR="00104A81" w:rsidRDefault="00000000">
            <w:pPr>
              <w:spacing w:before="8" w:after="8"/>
            </w:pPr>
            <w:r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</w:rPr>
              <w:t xml:space="preserve">Neurological: </w:t>
            </w:r>
            <w:r>
              <w:rPr>
                <w:rFonts w:ascii="Arial" w:eastAsia="Arial" w:hAnsi="Arial" w:cs="Arial"/>
                <w:color w:val="555555"/>
                <w:sz w:val="13"/>
                <w:szCs w:val="13"/>
              </w:rPr>
              <w:t>Radiculopathy, peripheral neuropathy, focal entrapment, plexopathy, small-fiber neuropathy, functional neurological disorder</w:t>
            </w:r>
          </w:p>
          <w:p w14:paraId="24C3636C" w14:textId="77777777" w:rsidR="00104A81" w:rsidRDefault="00000000">
            <w:pPr>
              <w:spacing w:before="8" w:after="8"/>
            </w:pPr>
            <w:r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</w:rPr>
              <w:t xml:space="preserve">Vascular: </w:t>
            </w:r>
            <w:r>
              <w:rPr>
                <w:rFonts w:ascii="Arial" w:eastAsia="Arial" w:hAnsi="Arial" w:cs="Arial"/>
                <w:color w:val="555555"/>
                <w:sz w:val="13"/>
                <w:szCs w:val="13"/>
              </w:rPr>
              <w:t>DVT, arterial/venous insufficiency, Raynaud, lymphedema, vasculitis</w:t>
            </w:r>
          </w:p>
          <w:p w14:paraId="76C9E5FF" w14:textId="77777777" w:rsidR="00104A81" w:rsidRDefault="00000000">
            <w:pPr>
              <w:spacing w:before="8" w:after="30"/>
            </w:pPr>
            <w:r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</w:rPr>
              <w:t xml:space="preserve">Pain/Behavioral: </w:t>
            </w:r>
            <w:r>
              <w:rPr>
                <w:rFonts w:ascii="Arial" w:eastAsia="Arial" w:hAnsi="Arial" w:cs="Arial"/>
                <w:color w:val="555555"/>
                <w:sz w:val="13"/>
                <w:szCs w:val="13"/>
              </w:rPr>
              <w:t>Central sensitization, somatic symptom disorder, functional movement disorder — these can coexist with CRPS</w:t>
            </w:r>
          </w:p>
          <w:p w14:paraId="3A895795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8B0000"/>
                <w:sz w:val="13"/>
                <w:szCs w:val="13"/>
              </w:rPr>
              <w:t xml:space="preserve">⚠  </w:t>
            </w:r>
            <w:r>
              <w:rPr>
                <w:rFonts w:ascii="Arial" w:eastAsia="Arial" w:hAnsi="Arial" w:cs="Arial"/>
                <w:i/>
                <w:iCs/>
                <w:color w:val="555555"/>
                <w:sz w:val="13"/>
                <w:szCs w:val="13"/>
              </w:rPr>
              <w:t>Avoid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555555"/>
                <w:sz w:val="13"/>
                <w:szCs w:val="13"/>
              </w:rPr>
              <w:t xml:space="preserve"> the false choice between "completely organic" and "completely psychological"</w:t>
            </w:r>
          </w:p>
          <w:p w14:paraId="41F1B0D7" w14:textId="77777777" w:rsidR="00104A81" w:rsidRDefault="00000000">
            <w:pPr>
              <w:shd w:val="clear" w:color="auto" w:fill="111111"/>
              <w:spacing w:before="70" w:after="25"/>
            </w:pPr>
            <w:r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 xml:space="preserve">  F.  FLUCTUATION AND THE LONGITUDINAL RECORD</w:t>
            </w:r>
          </w:p>
          <w:p w14:paraId="701A0D68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Signs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fluctuate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—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Temperature, color, swelling vary with activity, position, temperature, medication</w:t>
            </w:r>
          </w:p>
          <w:p w14:paraId="32813ECD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Evaluate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the complete temporal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record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—</w:t>
            </w:r>
            <w:proofErr w:type="gramEnd"/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Not a single favorable or unfavorable visit</w:t>
            </w:r>
          </w:p>
          <w:p w14:paraId="2353073B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Was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diagnosis copied forward without re-examination?</w:t>
            </w:r>
          </w:p>
          <w:p w14:paraId="43492439" w14:textId="77777777" w:rsidR="00104A81" w:rsidRDefault="00000000">
            <w:pPr>
              <w:spacing w:before="24" w:after="24" w:line="255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555555"/>
                <w:sz w:val="15"/>
                <w:szCs w:val="15"/>
              </w:rPr>
              <w:t xml:space="preserve">□  </w:t>
            </w:r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>Was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11111"/>
                <w:sz w:val="15"/>
                <w:szCs w:val="15"/>
              </w:rPr>
              <w:t xml:space="preserve"> the exam detailed enough to detect asymmetry?</w:t>
            </w:r>
            <w:r>
              <w:rPr>
                <w:rFonts w:ascii="Arial" w:eastAsia="Arial" w:hAnsi="Arial" w:cs="Arial"/>
                <w:color w:val="888888"/>
                <w:sz w:val="13"/>
                <w:szCs w:val="13"/>
              </w:rPr>
              <w:t xml:space="preserve">  —  Both limbs acclimated to room temperature?</w:t>
            </w:r>
          </w:p>
          <w:p w14:paraId="67FF649D" w14:textId="77777777" w:rsidR="00104A81" w:rsidRDefault="00000000">
            <w:pPr>
              <w:shd w:val="clear" w:color="auto" w:fill="111111"/>
              <w:spacing w:before="70" w:after="25"/>
            </w:pPr>
            <w:r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 xml:space="preserve">  G. 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>PLAINTIFF  |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  <w:sz w:val="14"/>
                <w:szCs w:val="14"/>
              </w:rPr>
              <w:t xml:space="preserve">  DEFENSE STRATEGY</w:t>
            </w:r>
          </w:p>
          <w:tbl>
            <w:tblPr>
              <w:tblW w:w="4731" w:type="dxa"/>
              <w:tblBorders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66"/>
              <w:gridCol w:w="2365"/>
            </w:tblGrid>
            <w:tr w:rsidR="00104A81" w14:paraId="1088D39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366" w:type="dxa"/>
                  <w:tcBorders>
                    <w:right w:val="single" w:sz="2" w:space="0" w:color="CCCCCC"/>
                  </w:tcBorders>
                  <w:tcMar>
                    <w:right w:w="144" w:type="dxa"/>
                  </w:tcMar>
                </w:tcPr>
                <w:p w14:paraId="4BC3C6EE" w14:textId="77777777" w:rsidR="00104A81" w:rsidRDefault="00000000">
                  <w:pPr>
                    <w:spacing w:before="16" w:after="8"/>
                  </w:pPr>
                  <w:r>
                    <w:rPr>
                      <w:rFonts w:ascii="Arial" w:eastAsia="Arial" w:hAnsi="Arial" w:cs="Arial"/>
                      <w:b/>
                      <w:bCs/>
                      <w:color w:val="111111"/>
                      <w:sz w:val="13"/>
                      <w:szCs w:val="13"/>
                    </w:rPr>
                    <w:t>Plaintiff</w:t>
                  </w:r>
                </w:p>
                <w:p w14:paraId="30B387E1" w14:textId="77777777" w:rsidR="00104A81" w:rsidRDefault="00000000">
                  <w:pPr>
                    <w:spacing w:before="12" w:after="12" w:line="248" w:lineRule="auto"/>
                  </w:pPr>
                  <w:proofErr w:type="gramStart"/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 xml:space="preserve">✓  </w:t>
                  </w:r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>Document</w:t>
                  </w:r>
                  <w:proofErr w:type="gramEnd"/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 xml:space="preserve"> observed, measured, bilateral signs near date of diagnosis</w:t>
                  </w:r>
                </w:p>
                <w:p w14:paraId="7270A065" w14:textId="77777777" w:rsidR="00104A81" w:rsidRDefault="00000000">
                  <w:pPr>
                    <w:spacing w:before="12" w:after="12" w:line="248" w:lineRule="auto"/>
                  </w:pPr>
                  <w:proofErr w:type="gramStart"/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 xml:space="preserve">✓  </w:t>
                  </w:r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>Address</w:t>
                  </w:r>
                  <w:proofErr w:type="gramEnd"/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 xml:space="preserve"> alternatives explicitly as excluded</w:t>
                  </w:r>
                </w:p>
                <w:p w14:paraId="65C644D7" w14:textId="77777777" w:rsidR="00104A81" w:rsidRDefault="00000000">
                  <w:pPr>
                    <w:spacing w:before="12" w:after="12" w:line="248" w:lineRule="auto"/>
                  </w:pPr>
                  <w:proofErr w:type="gramStart"/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 xml:space="preserve">✓  </w:t>
                  </w:r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>Retain</w:t>
                  </w:r>
                  <w:proofErr w:type="gramEnd"/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 xml:space="preserve"> a CRPS specialist</w:t>
                  </w:r>
                </w:p>
                <w:p w14:paraId="024BD994" w14:textId="77777777" w:rsidR="00104A81" w:rsidRDefault="00000000">
                  <w:pPr>
                    <w:spacing w:before="12" w:after="12" w:line="248" w:lineRule="auto"/>
                  </w:pPr>
                  <w:proofErr w:type="gramStart"/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 xml:space="preserve">✓  </w:t>
                  </w:r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>Tie</w:t>
                  </w:r>
                  <w:proofErr w:type="gramEnd"/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 xml:space="preserve"> functional consequences specifically to the diagnosis</w:t>
                  </w:r>
                </w:p>
              </w:tc>
              <w:tc>
                <w:tcPr>
                  <w:tcW w:w="2366" w:type="dxa"/>
                  <w:tcMar>
                    <w:left w:w="144" w:type="dxa"/>
                  </w:tcMar>
                </w:tcPr>
                <w:p w14:paraId="32E6C4B4" w14:textId="77777777" w:rsidR="00104A81" w:rsidRDefault="00000000">
                  <w:pPr>
                    <w:spacing w:before="16" w:after="8"/>
                  </w:pPr>
                  <w:r>
                    <w:rPr>
                      <w:rFonts w:ascii="Arial" w:eastAsia="Arial" w:hAnsi="Arial" w:cs="Arial"/>
                      <w:b/>
                      <w:bCs/>
                      <w:color w:val="111111"/>
                      <w:sz w:val="13"/>
                      <w:szCs w:val="13"/>
                    </w:rPr>
                    <w:t>Defense</w:t>
                  </w:r>
                </w:p>
                <w:p w14:paraId="5A15013D" w14:textId="77777777" w:rsidR="00104A81" w:rsidRDefault="00000000">
                  <w:pPr>
                    <w:spacing w:before="12" w:after="12" w:line="248" w:lineRule="auto"/>
                  </w:pPr>
                  <w:proofErr w:type="gramStart"/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 xml:space="preserve">✓  </w:t>
                  </w:r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>Find</w:t>
                  </w:r>
                  <w:proofErr w:type="gramEnd"/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 xml:space="preserve"> the first actual diagnostic assessment — not the first code</w:t>
                  </w:r>
                </w:p>
                <w:p w14:paraId="72DD5574" w14:textId="77777777" w:rsidR="00104A81" w:rsidRDefault="00000000">
                  <w:pPr>
                    <w:spacing w:before="12" w:after="12" w:line="248" w:lineRule="auto"/>
                  </w:pPr>
                  <w:proofErr w:type="gramStart"/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 xml:space="preserve">✓  </w:t>
                  </w:r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>Distinguish</w:t>
                  </w:r>
                  <w:proofErr w:type="gramEnd"/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 xml:space="preserve"> documented signs from patient-reported symptoms</w:t>
                  </w:r>
                </w:p>
                <w:p w14:paraId="30242A3E" w14:textId="77777777" w:rsidR="00104A81" w:rsidRDefault="00000000">
                  <w:pPr>
                    <w:spacing w:before="12" w:after="12" w:line="248" w:lineRule="auto"/>
                  </w:pPr>
                  <w:proofErr w:type="gramStart"/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 xml:space="preserve">✓  </w:t>
                  </w:r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>Identify</w:t>
                  </w:r>
                  <w:proofErr w:type="gramEnd"/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 xml:space="preserve"> where diagnosis was copied without re-examination</w:t>
                  </w:r>
                </w:p>
                <w:p w14:paraId="767563F6" w14:textId="77777777" w:rsidR="00104A81" w:rsidRDefault="00000000">
                  <w:pPr>
                    <w:spacing w:before="12" w:after="12" w:line="248" w:lineRule="auto"/>
                  </w:pPr>
                  <w:proofErr w:type="gramStart"/>
                  <w:r>
                    <w:rPr>
                      <w:rFonts w:ascii="Arial" w:eastAsia="Arial" w:hAnsi="Arial" w:cs="Arial"/>
                      <w:color w:val="555555"/>
                      <w:sz w:val="12"/>
                      <w:szCs w:val="12"/>
                    </w:rPr>
                    <w:t xml:space="preserve">✓  </w:t>
                  </w:r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>Challenge</w:t>
                  </w:r>
                  <w:proofErr w:type="gramEnd"/>
                  <w:r>
                    <w:rPr>
                      <w:rFonts w:ascii="Arial" w:eastAsia="Arial" w:hAnsi="Arial" w:cs="Arial"/>
                      <w:color w:val="111111"/>
                      <w:sz w:val="12"/>
                      <w:szCs w:val="12"/>
                    </w:rPr>
                    <w:t>: is the permanency opinion tied to longitudinal support?</w:t>
                  </w:r>
                </w:p>
              </w:tc>
            </w:tr>
          </w:tbl>
          <w:p w14:paraId="6C2A5864" w14:textId="77777777" w:rsidR="00104A81" w:rsidRDefault="00000000">
            <w:pPr>
              <w:spacing w:before="20" w:after="20" w:line="252" w:lineRule="auto"/>
              <w:ind w:left="144"/>
            </w:pPr>
            <w:proofErr w:type="gramStart"/>
            <w:r>
              <w:rPr>
                <w:rFonts w:ascii="Arial" w:eastAsia="Arial" w:hAnsi="Arial" w:cs="Arial"/>
                <w:color w:val="8B0000"/>
                <w:sz w:val="13"/>
                <w:szCs w:val="13"/>
              </w:rPr>
              <w:t xml:space="preserve">⚠  </w:t>
            </w:r>
            <w:r>
              <w:rPr>
                <w:rFonts w:ascii="Arial" w:eastAsia="Arial" w:hAnsi="Arial" w:cs="Arial"/>
                <w:i/>
                <w:iCs/>
                <w:color w:val="555555"/>
                <w:sz w:val="13"/>
                <w:szCs w:val="13"/>
              </w:rPr>
              <w:t>"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555555"/>
                <w:sz w:val="13"/>
                <w:szCs w:val="13"/>
              </w:rPr>
              <w:t>Met criteria in March 2024" ≠ "permanently disabled since March 2024" — the second requires substantially more longitudinal support</w:t>
            </w:r>
          </w:p>
        </w:tc>
      </w:tr>
    </w:tbl>
    <w:p w14:paraId="70615FD0" w14:textId="77777777" w:rsidR="00104A81" w:rsidRDefault="00000000">
      <w:pPr>
        <w:pBdr>
          <w:top w:val="single" w:sz="2" w:space="0" w:color="CCCCCC"/>
        </w:pBdr>
        <w:spacing w:before="40"/>
        <w:jc w:val="center"/>
      </w:pPr>
      <w:r>
        <w:rPr>
          <w:rFonts w:ascii="Arial" w:eastAsia="Arial" w:hAnsi="Arial" w:cs="Arial"/>
          <w:color w:val="888888"/>
          <w:sz w:val="12"/>
          <w:szCs w:val="12"/>
        </w:rPr>
        <w:t xml:space="preserve">Excerpted from </w:t>
      </w:r>
      <w:r>
        <w:rPr>
          <w:rFonts w:ascii="Arial" w:eastAsia="Arial" w:hAnsi="Arial" w:cs="Arial"/>
          <w:i/>
          <w:iCs/>
          <w:color w:val="888888"/>
          <w:sz w:val="12"/>
          <w:szCs w:val="12"/>
        </w:rPr>
        <w:t xml:space="preserve">Pain Medicine for </w:t>
      </w:r>
      <w:proofErr w:type="gramStart"/>
      <w:r>
        <w:rPr>
          <w:rFonts w:ascii="Arial" w:eastAsia="Arial" w:hAnsi="Arial" w:cs="Arial"/>
          <w:i/>
          <w:iCs/>
          <w:color w:val="888888"/>
          <w:sz w:val="12"/>
          <w:szCs w:val="12"/>
        </w:rPr>
        <w:t>Attorneys</w:t>
      </w:r>
      <w:r>
        <w:rPr>
          <w:rFonts w:ascii="Arial" w:eastAsia="Arial" w:hAnsi="Arial" w:cs="Arial"/>
          <w:color w:val="888888"/>
          <w:sz w:val="12"/>
          <w:szCs w:val="12"/>
        </w:rPr>
        <w:t xml:space="preserve">  —</w:t>
      </w:r>
      <w:proofErr w:type="gramEnd"/>
      <w:r>
        <w:rPr>
          <w:rFonts w:ascii="Arial" w:eastAsia="Arial" w:hAnsi="Arial" w:cs="Arial"/>
          <w:color w:val="888888"/>
          <w:sz w:val="12"/>
          <w:szCs w:val="12"/>
        </w:rPr>
        <w:t xml:space="preserve">  Eugene Lipov, M.D.  —  dreugenelipov.com</w:t>
      </w:r>
    </w:p>
    <w:sectPr w:rsidR="00104A81">
      <w:pgSz w:w="15840" w:h="12240"/>
      <w:pgMar w:top="648" w:right="792" w:bottom="576" w:left="792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1172CD"/>
    <w:multiLevelType w:val="hybridMultilevel"/>
    <w:tmpl w:val="DE4A4390"/>
    <w:lvl w:ilvl="0" w:tplc="6CBE3810">
      <w:start w:val="1"/>
      <w:numFmt w:val="bullet"/>
      <w:lvlText w:val="●"/>
      <w:lvlJc w:val="left"/>
      <w:pPr>
        <w:ind w:left="720" w:hanging="360"/>
      </w:pPr>
    </w:lvl>
    <w:lvl w:ilvl="1" w:tplc="0DA260B6">
      <w:start w:val="1"/>
      <w:numFmt w:val="bullet"/>
      <w:lvlText w:val="○"/>
      <w:lvlJc w:val="left"/>
      <w:pPr>
        <w:ind w:left="1440" w:hanging="360"/>
      </w:pPr>
    </w:lvl>
    <w:lvl w:ilvl="2" w:tplc="A320AD5C">
      <w:start w:val="1"/>
      <w:numFmt w:val="bullet"/>
      <w:lvlText w:val="■"/>
      <w:lvlJc w:val="left"/>
      <w:pPr>
        <w:ind w:left="2160" w:hanging="360"/>
      </w:pPr>
    </w:lvl>
    <w:lvl w:ilvl="3" w:tplc="1A2A104A">
      <w:start w:val="1"/>
      <w:numFmt w:val="bullet"/>
      <w:lvlText w:val="●"/>
      <w:lvlJc w:val="left"/>
      <w:pPr>
        <w:ind w:left="2880" w:hanging="360"/>
      </w:pPr>
    </w:lvl>
    <w:lvl w:ilvl="4" w:tplc="61FA3C66">
      <w:start w:val="1"/>
      <w:numFmt w:val="bullet"/>
      <w:lvlText w:val="○"/>
      <w:lvlJc w:val="left"/>
      <w:pPr>
        <w:ind w:left="3600" w:hanging="360"/>
      </w:pPr>
    </w:lvl>
    <w:lvl w:ilvl="5" w:tplc="97528FF8">
      <w:start w:val="1"/>
      <w:numFmt w:val="bullet"/>
      <w:lvlText w:val="■"/>
      <w:lvlJc w:val="left"/>
      <w:pPr>
        <w:ind w:left="4320" w:hanging="360"/>
      </w:pPr>
    </w:lvl>
    <w:lvl w:ilvl="6" w:tplc="9B56D7CA">
      <w:start w:val="1"/>
      <w:numFmt w:val="bullet"/>
      <w:lvlText w:val="●"/>
      <w:lvlJc w:val="left"/>
      <w:pPr>
        <w:ind w:left="5040" w:hanging="360"/>
      </w:pPr>
    </w:lvl>
    <w:lvl w:ilvl="7" w:tplc="F7868AA0">
      <w:start w:val="1"/>
      <w:numFmt w:val="bullet"/>
      <w:lvlText w:val="●"/>
      <w:lvlJc w:val="left"/>
      <w:pPr>
        <w:ind w:left="5760" w:hanging="360"/>
      </w:pPr>
    </w:lvl>
    <w:lvl w:ilvl="8" w:tplc="8E98C78A">
      <w:start w:val="1"/>
      <w:numFmt w:val="bullet"/>
      <w:lvlText w:val="●"/>
      <w:lvlJc w:val="left"/>
      <w:pPr>
        <w:ind w:left="6480" w:hanging="360"/>
      </w:pPr>
    </w:lvl>
  </w:abstractNum>
  <w:num w:numId="1" w16cid:durableId="15809420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A81"/>
    <w:rsid w:val="000E58CE"/>
    <w:rsid w:val="00104A81"/>
    <w:rsid w:val="0039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F6E362"/>
  <w15:docId w15:val="{F5D384A9-0F2E-1C49-A0F8-E3ADFFBF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603</Words>
  <Characters>3753</Characters>
  <Application>Microsoft Office Word</Application>
  <DocSecurity>0</DocSecurity>
  <Lines>118</Lines>
  <Paragraphs>74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CRPS Litigation Checklist</dc:title>
  <dc:creator>Eugene Lipov MD</dc:creator>
  <cp:lastModifiedBy>EUGENE LIPOV</cp:lastModifiedBy>
  <cp:revision>2</cp:revision>
  <dcterms:created xsi:type="dcterms:W3CDTF">2026-08-02T13:28:00Z</dcterms:created>
  <dcterms:modified xsi:type="dcterms:W3CDTF">2026-08-02T13:28:00Z</dcterms:modified>
</cp:coreProperties>
</file>